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8A" w:rsidRDefault="00FE17D5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D56D3D">
        <w:rPr>
          <w:rFonts w:asciiTheme="minorHAnsi" w:hAnsiTheme="minorHAnsi"/>
          <w:b/>
          <w:sz w:val="28"/>
          <w:szCs w:val="28"/>
          <w:lang w:val="ru-RU"/>
        </w:rPr>
        <w:t xml:space="preserve">           </w:t>
      </w:r>
      <w:r w:rsidR="00E84600">
        <w:rPr>
          <w:rFonts w:asciiTheme="minorHAnsi" w:hAnsiTheme="minorHAnsi"/>
          <w:b/>
          <w:sz w:val="28"/>
          <w:szCs w:val="28"/>
          <w:lang w:val="ru-RU"/>
        </w:rPr>
        <w:t xml:space="preserve">   </w:t>
      </w:r>
      <w:r w:rsidR="00E84600"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</w:p>
    <w:p w:rsidR="005D4669" w:rsidRPr="00B1263D" w:rsidRDefault="004A638A" w:rsidP="005D4669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</w:t>
      </w:r>
      <w:r w:rsidR="009020FD" w:rsidRPr="009A06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831D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5D4669" w:rsidRPr="00B1263D">
        <w:rPr>
          <w:rFonts w:ascii="Arial" w:hAnsi="Arial" w:cs="Arial"/>
          <w:b/>
          <w:sz w:val="24"/>
          <w:szCs w:val="24"/>
          <w:lang w:val="ru-RU"/>
        </w:rPr>
        <w:t xml:space="preserve">Приложение № </w:t>
      </w:r>
      <w:r w:rsidR="00B5084C">
        <w:rPr>
          <w:rFonts w:ascii="Arial" w:hAnsi="Arial" w:cs="Arial"/>
          <w:b/>
          <w:sz w:val="24"/>
          <w:szCs w:val="24"/>
          <w:lang w:val="ru-RU"/>
        </w:rPr>
        <w:t>4</w:t>
      </w:r>
    </w:p>
    <w:p w:rsidR="005D4669" w:rsidRPr="00B1263D" w:rsidRDefault="005D4669" w:rsidP="005D4669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B1263D">
        <w:rPr>
          <w:rFonts w:ascii="Arial" w:hAnsi="Arial" w:cs="Arial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B1263D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B1263D">
        <w:rPr>
          <w:rFonts w:ascii="Arial" w:hAnsi="Arial" w:cs="Arial"/>
          <w:b/>
          <w:sz w:val="24"/>
          <w:szCs w:val="24"/>
          <w:lang w:val="ru-RU"/>
        </w:rPr>
        <w:t xml:space="preserve">к протоколу </w:t>
      </w:r>
      <w:r w:rsidR="001D22E2" w:rsidRPr="00B1263D">
        <w:rPr>
          <w:rFonts w:ascii="Arial" w:hAnsi="Arial" w:cs="Arial"/>
          <w:b/>
          <w:sz w:val="24"/>
          <w:szCs w:val="24"/>
          <w:lang w:val="ru-RU"/>
        </w:rPr>
        <w:t>МГС</w:t>
      </w:r>
      <w:r w:rsidRPr="00B1263D">
        <w:rPr>
          <w:rFonts w:ascii="Arial" w:hAnsi="Arial" w:cs="Arial"/>
          <w:b/>
          <w:sz w:val="24"/>
          <w:szCs w:val="24"/>
          <w:lang w:val="ru-RU"/>
        </w:rPr>
        <w:t xml:space="preserve"> № 6</w:t>
      </w:r>
      <w:r w:rsidR="001D22E2" w:rsidRPr="00B1263D">
        <w:rPr>
          <w:rFonts w:ascii="Arial" w:hAnsi="Arial" w:cs="Arial"/>
          <w:b/>
          <w:sz w:val="24"/>
          <w:szCs w:val="24"/>
          <w:lang w:val="ru-RU"/>
        </w:rPr>
        <w:t>8</w:t>
      </w:r>
      <w:r w:rsidRPr="00B1263D">
        <w:rPr>
          <w:rFonts w:ascii="Arial" w:hAnsi="Arial" w:cs="Arial"/>
          <w:b/>
          <w:sz w:val="24"/>
          <w:szCs w:val="24"/>
          <w:lang w:val="ru-RU"/>
        </w:rPr>
        <w:t xml:space="preserve">-2025                          </w:t>
      </w:r>
    </w:p>
    <w:p w:rsidR="00703880" w:rsidRPr="00B1263D" w:rsidRDefault="00703880" w:rsidP="00AD1727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</w:p>
    <w:p w:rsidR="008B6D83" w:rsidRPr="00B1263D" w:rsidRDefault="001D22E2" w:rsidP="008B6D83">
      <w:pPr>
        <w:ind w:firstLine="567"/>
        <w:jc w:val="center"/>
        <w:rPr>
          <w:rFonts w:ascii="Arial" w:hAnsi="Arial" w:cs="Arial"/>
          <w:b/>
          <w:iCs/>
          <w:sz w:val="24"/>
          <w:szCs w:val="24"/>
          <w:lang w:val="ru-RU"/>
        </w:rPr>
      </w:pPr>
      <w:r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Информация </w:t>
      </w:r>
      <w:r w:rsidR="00FA1E1F"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национальных органов </w:t>
      </w:r>
      <w:r w:rsidR="008B6D83">
        <w:rPr>
          <w:rFonts w:ascii="Arial" w:hAnsi="Arial" w:cs="Arial"/>
          <w:b/>
          <w:iCs/>
          <w:sz w:val="24"/>
          <w:szCs w:val="24"/>
          <w:lang w:val="ru-RU"/>
        </w:rPr>
        <w:t xml:space="preserve">по </w:t>
      </w:r>
      <w:r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итогам рассмотрения </w:t>
      </w:r>
    </w:p>
    <w:p w:rsidR="00D05A7E" w:rsidRPr="00B1263D" w:rsidRDefault="00FD5F36" w:rsidP="00661B45">
      <w:pPr>
        <w:ind w:firstLine="567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FD5F36">
        <w:rPr>
          <w:rFonts w:ascii="Arial" w:hAnsi="Arial" w:cs="Arial"/>
          <w:b/>
          <w:iCs/>
          <w:sz w:val="24"/>
          <w:szCs w:val="24"/>
          <w:lang w:val="ru-RU"/>
        </w:rPr>
        <w:t>предложений по вариантам дополнительных источников финансирования</w:t>
      </w:r>
      <w:r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 </w:t>
      </w:r>
      <w:r w:rsidR="001D22E2"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Бюро по </w:t>
      </w:r>
      <w:r>
        <w:rPr>
          <w:rFonts w:ascii="Arial" w:hAnsi="Arial" w:cs="Arial"/>
          <w:b/>
          <w:iCs/>
          <w:sz w:val="24"/>
          <w:szCs w:val="24"/>
          <w:lang w:val="ru-RU"/>
        </w:rPr>
        <w:t>стандартам</w:t>
      </w:r>
      <w:r w:rsidR="001D22E2"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 </w:t>
      </w:r>
      <w:r w:rsidR="001D22E2" w:rsidRPr="00B1263D">
        <w:rPr>
          <w:rFonts w:ascii="Arial" w:hAnsi="Arial" w:cs="Arial"/>
          <w:b/>
          <w:iCs/>
          <w:sz w:val="24"/>
          <w:szCs w:val="24"/>
          <w:lang w:val="ru-RU"/>
        </w:rPr>
        <w:br/>
      </w:r>
      <w:r w:rsidR="00C33964" w:rsidRPr="00B1263D">
        <w:rPr>
          <w:rFonts w:ascii="Arial" w:hAnsi="Arial" w:cs="Arial"/>
          <w:b/>
          <w:bCs/>
          <w:iCs/>
          <w:sz w:val="24"/>
          <w:szCs w:val="24"/>
          <w:lang w:val="ru-RU"/>
        </w:rPr>
        <w:t>(в</w:t>
      </w:r>
      <w:r w:rsidR="00C33964"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 рамках реализации</w:t>
      </w:r>
      <w:r w:rsidR="001D22E2"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 п. 2.</w:t>
      </w:r>
      <w:r>
        <w:rPr>
          <w:rFonts w:ascii="Arial" w:hAnsi="Arial" w:cs="Arial"/>
          <w:b/>
          <w:iCs/>
          <w:sz w:val="24"/>
          <w:szCs w:val="24"/>
          <w:lang w:val="ru-RU"/>
        </w:rPr>
        <w:t>8</w:t>
      </w:r>
      <w:r w:rsidR="001D22E2"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 </w:t>
      </w:r>
      <w:r w:rsidR="00ED0C55" w:rsidRPr="00ED0C55">
        <w:rPr>
          <w:rFonts w:ascii="Arial" w:hAnsi="Arial" w:cs="Arial"/>
          <w:b/>
          <w:iCs/>
          <w:sz w:val="24"/>
          <w:szCs w:val="24"/>
          <w:lang w:val="ru-RU"/>
        </w:rPr>
        <w:t>протокола Совещания Членов МГС в рамках 67-го заседания МГС (№ 67-2025)</w:t>
      </w:r>
      <w:r w:rsidR="00C33964" w:rsidRPr="00B1263D">
        <w:rPr>
          <w:rFonts w:ascii="Arial" w:hAnsi="Arial" w:cs="Arial"/>
          <w:b/>
          <w:bCs/>
          <w:iCs/>
          <w:sz w:val="24"/>
          <w:szCs w:val="24"/>
          <w:lang w:val="ru-RU"/>
        </w:rPr>
        <w:t>)</w:t>
      </w:r>
    </w:p>
    <w:p w:rsidR="001D22E2" w:rsidRPr="00E94B71" w:rsidRDefault="001D22E2" w:rsidP="00661B4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46330" w:rsidRPr="00E94B71" w:rsidRDefault="00A46330" w:rsidP="00A46330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1"/>
      </w:tblGrid>
      <w:tr w:rsidR="00E047E5" w:rsidRPr="00A2477F" w:rsidTr="00D56D3D">
        <w:tc>
          <w:tcPr>
            <w:tcW w:w="5000" w:type="pct"/>
            <w:shd w:val="clear" w:color="auto" w:fill="auto"/>
            <w:vAlign w:val="center"/>
          </w:tcPr>
          <w:p w:rsidR="00321614" w:rsidRDefault="00321614" w:rsidP="00801F6B">
            <w:pPr>
              <w:spacing w:line="240" w:lineRule="auto"/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Азербайджанская Республика</w:t>
            </w:r>
          </w:p>
          <w:p w:rsidR="00587732" w:rsidRPr="004B3266" w:rsidRDefault="00A2477F" w:rsidP="00A2477F">
            <w:pPr>
              <w:spacing w:line="240" w:lineRule="auto"/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(эл. письмо Азербайджанского Института Стандартизации от 0</w:t>
            </w: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9</w:t>
            </w: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.1</w:t>
            </w: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2</w:t>
            </w: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.2025)</w:t>
            </w:r>
          </w:p>
        </w:tc>
      </w:tr>
      <w:tr w:rsidR="00A2477F" w:rsidRPr="00A2477F" w:rsidTr="00D56D3D">
        <w:tc>
          <w:tcPr>
            <w:tcW w:w="5000" w:type="pct"/>
            <w:shd w:val="clear" w:color="auto" w:fill="auto"/>
            <w:vAlign w:val="center"/>
          </w:tcPr>
          <w:p w:rsidR="00A2477F" w:rsidRPr="00B1263D" w:rsidRDefault="00A2477F" w:rsidP="00A2477F">
            <w:pPr>
              <w:spacing w:line="240" w:lineRule="auto"/>
              <w:ind w:left="-96" w:right="-85" w:firstLine="834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У </w:t>
            </w:r>
            <w:r w:rsidRPr="00A2477F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Азербайджанского Института Стандартизации </w:t>
            </w:r>
            <w:r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н</w:t>
            </w:r>
            <w:bookmarkStart w:id="0" w:name="_GoBack"/>
            <w:bookmarkEnd w:id="0"/>
            <w:r w:rsidRPr="00A2477F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ет замечаний и предложений касательно предложенных вариантов дополнительных источников финансирования</w:t>
            </w:r>
            <w:r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.</w:t>
            </w:r>
          </w:p>
        </w:tc>
      </w:tr>
      <w:tr w:rsidR="00321614" w:rsidRPr="00A2477F" w:rsidTr="00D56D3D">
        <w:tc>
          <w:tcPr>
            <w:tcW w:w="5000" w:type="pct"/>
            <w:shd w:val="clear" w:color="auto" w:fill="auto"/>
            <w:vAlign w:val="center"/>
          </w:tcPr>
          <w:p w:rsidR="00321614" w:rsidRPr="00F81620" w:rsidRDefault="00321614" w:rsidP="00801F6B">
            <w:pPr>
              <w:spacing w:line="240" w:lineRule="auto"/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F81620">
              <w:rPr>
                <w:rFonts w:ascii="Arial" w:hAnsi="Arial" w:cs="Arial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587732" w:rsidRPr="00F81620" w:rsidRDefault="00587732" w:rsidP="00801F6B">
            <w:pPr>
              <w:spacing w:line="240" w:lineRule="auto"/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F81620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(письмо </w:t>
            </w:r>
            <w:proofErr w:type="spellStart"/>
            <w:r w:rsidRPr="00F81620">
              <w:rPr>
                <w:rFonts w:ascii="Arial" w:hAnsi="Arial" w:cs="Arial"/>
                <w:b/>
                <w:sz w:val="24"/>
                <w:szCs w:val="24"/>
                <w:lang w:val="ru-RU"/>
              </w:rPr>
              <w:t>Врио</w:t>
            </w:r>
            <w:proofErr w:type="spellEnd"/>
            <w:r w:rsidRPr="00F81620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. директора </w:t>
            </w:r>
            <w:r w:rsidRPr="00F81620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 xml:space="preserve">ЗАО «НОСМ» </w:t>
            </w:r>
            <w:proofErr w:type="spellStart"/>
            <w:r w:rsidRPr="00F81620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А.А.Зейналяна</w:t>
            </w:r>
            <w:proofErr w:type="spellEnd"/>
            <w:r w:rsidRPr="00F81620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br/>
              <w:t>№ НОСМ-18</w:t>
            </w:r>
            <w:r w:rsidR="000F427E" w:rsidRPr="00F81620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77 от 05.12</w:t>
            </w:r>
            <w:r w:rsidRPr="00F81620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.2025</w:t>
            </w:r>
            <w:r w:rsidRPr="00F81620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1D22E2" w:rsidRPr="00A2477F" w:rsidTr="00D56D3D">
        <w:tc>
          <w:tcPr>
            <w:tcW w:w="5000" w:type="pct"/>
            <w:shd w:val="clear" w:color="auto" w:fill="auto"/>
            <w:vAlign w:val="center"/>
          </w:tcPr>
          <w:p w:rsidR="001D22E2" w:rsidRPr="00F81620" w:rsidRDefault="000F427E" w:rsidP="00F81620">
            <w:pPr>
              <w:spacing w:before="120" w:after="120" w:line="240" w:lineRule="auto"/>
              <w:ind w:left="-96" w:right="-85" w:firstLine="834"/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</w:pPr>
            <w:r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ЗАО «Национальный орган по стандартизации и метрологии» Республики Армения, рассмотрев предложенные Бюро по стандартам </w:t>
            </w:r>
            <w:r w:rsidR="00F81620"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варианты </w:t>
            </w:r>
            <w:r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дополнительны</w:t>
            </w:r>
            <w:r w:rsidR="00F81620"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х</w:t>
            </w:r>
            <w:r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 источников финансирования</w:t>
            </w:r>
            <w:r w:rsidR="00F81620"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, сообщает об отсутствии</w:t>
            </w:r>
            <w:r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 возраж</w:t>
            </w:r>
            <w:r w:rsidR="00F81620"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ений,</w:t>
            </w:r>
            <w:r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 при условии, что</w:t>
            </w:r>
            <w:r w:rsidR="00F81620"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 их</w:t>
            </w:r>
            <w:r w:rsidRPr="00F81620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 реализация не повлечет дополнительных финансовых обязательств для национальных органов по стандартизации государств-участников Соглашения</w:t>
            </w:r>
          </w:p>
        </w:tc>
      </w:tr>
      <w:tr w:rsidR="002D1501" w:rsidRPr="00B1263D" w:rsidTr="002D1501">
        <w:tc>
          <w:tcPr>
            <w:tcW w:w="5000" w:type="pct"/>
            <w:shd w:val="clear" w:color="auto" w:fill="auto"/>
          </w:tcPr>
          <w:p w:rsidR="002D1501" w:rsidRPr="00B1263D" w:rsidRDefault="002D1501" w:rsidP="002D1501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4A41F9" w:rsidRPr="004B3266" w:rsidRDefault="00C33964" w:rsidP="004A41F9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4A41F9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письмо Председателя Госстандарта </w:t>
            </w:r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Е.М.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Моргуновой </w:t>
            </w:r>
          </w:p>
          <w:p w:rsidR="002D1501" w:rsidRPr="00B1263D" w:rsidRDefault="003F5951" w:rsidP="00C51C3A">
            <w:pPr>
              <w:ind w:left="-94" w:right="-8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№ 0</w:t>
            </w:r>
            <w:r w:rsidR="00C51C3A">
              <w:rPr>
                <w:rFonts w:ascii="Arial" w:hAnsi="Arial" w:cs="Arial"/>
                <w:b/>
                <w:sz w:val="24"/>
                <w:szCs w:val="24"/>
                <w:lang w:val="ru-RU"/>
              </w:rPr>
              <w:t>8-03/786 от 21.11</w:t>
            </w: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.2025</w:t>
            </w:r>
            <w:r w:rsidR="00C33964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3F5951" w:rsidRPr="00A2477F" w:rsidTr="003F5951">
        <w:tc>
          <w:tcPr>
            <w:tcW w:w="5000" w:type="pct"/>
            <w:shd w:val="clear" w:color="auto" w:fill="auto"/>
          </w:tcPr>
          <w:p w:rsidR="00F707BF" w:rsidRPr="00F707BF" w:rsidRDefault="00F707BF" w:rsidP="00F707BF">
            <w:pPr>
              <w:widowControl/>
              <w:spacing w:line="240" w:lineRule="auto"/>
              <w:ind w:firstLine="70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F707BF">
              <w:rPr>
                <w:rFonts w:ascii="Arial" w:eastAsia="Calibri" w:hAnsi="Arial" w:cs="Arial"/>
                <w:sz w:val="24"/>
                <w:szCs w:val="24"/>
                <w:lang w:val="ru-RU"/>
              </w:rPr>
              <w:t>Госстандарт в целом поддерживает стремление Бюро по стандартам МГС к поиску дополнительных источников финансирования, в том числе указанных в письме. Однако механизм реализации, изложенных в письме предложений, а также фактическая заинтересованность третьих стран (организаций) требуют дополнительной проработки.</w:t>
            </w:r>
          </w:p>
          <w:p w:rsidR="00BF5DCC" w:rsidRDefault="00F707BF" w:rsidP="00EE007C">
            <w:pPr>
              <w:widowControl/>
              <w:spacing w:line="240" w:lineRule="auto"/>
              <w:ind w:firstLine="70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</w:pPr>
            <w:r w:rsidRPr="00F707BF">
              <w:rPr>
                <w:rFonts w:ascii="Arial" w:eastAsia="Calibri" w:hAnsi="Arial" w:cs="Arial"/>
                <w:sz w:val="24"/>
                <w:szCs w:val="24"/>
                <w:lang w:val="ru-RU"/>
              </w:rPr>
              <w:t>Уместным представляется формирование конкретного перечня организаций, которым может быть предоставлен статус наб</w:t>
            </w:r>
            <w:r w:rsidRPr="00F707BF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людателя, а также разработка положения о статусе государства - наблюдателя при Межгосударственном совете по стандартизации, метрологии и сертификации и порядка получения такого статуса.</w:t>
            </w:r>
          </w:p>
          <w:p w:rsidR="00801F6B" w:rsidRDefault="00BF5DCC" w:rsidP="00EE007C">
            <w:pPr>
              <w:widowControl/>
              <w:spacing w:line="240" w:lineRule="auto"/>
              <w:ind w:firstLine="709"/>
              <w:contextualSpacing/>
              <w:jc w:val="both"/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</w:pPr>
            <w:r w:rsidRPr="00801F6B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>Комментари</w:t>
            </w:r>
            <w:r w:rsidR="00801F6B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>й</w:t>
            </w:r>
            <w:r w:rsidRPr="00801F6B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 xml:space="preserve"> Бюро по стандартам. Формирование конкретного перечня организаций будет</w:t>
            </w:r>
            <w:r w:rsidR="00801F6B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 xml:space="preserve"> возможно при поступлении обраще</w:t>
            </w:r>
            <w:r w:rsidRPr="00801F6B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>ний и заключение договоров или Соглашений от таких организаций.</w:t>
            </w:r>
          </w:p>
          <w:p w:rsidR="00975007" w:rsidRPr="00F707BF" w:rsidRDefault="00F707BF" w:rsidP="00EE007C">
            <w:pPr>
              <w:widowControl/>
              <w:spacing w:line="240" w:lineRule="auto"/>
              <w:ind w:firstLine="70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</w:pPr>
            <w:r w:rsidRPr="00F707BF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По вопросу предоставления на платной основе информации о принимаемых документах по межгосударственной стандартизации и текстов документов требуется конкретизация о какой информации и каких документах идет речь. При этом, считаем необходимым отметить целесообразность сохранения общедоступности информации о принимаемых межгосударственных документах по стандартизации, разработчиками которых являются, в том числе, организации государств - участников Соглашения о проведении согласованной политики в области стандартизации, метрологии и сертификации от 13 марта 1992 г.</w:t>
            </w:r>
          </w:p>
          <w:p w:rsidR="00EE007C" w:rsidRPr="00BF5296" w:rsidRDefault="00EE007C" w:rsidP="00BF5DCC">
            <w:pPr>
              <w:autoSpaceDE w:val="0"/>
              <w:autoSpaceDN w:val="0"/>
              <w:adjustRightInd w:val="0"/>
              <w:spacing w:before="120" w:after="120" w:line="240" w:lineRule="auto"/>
              <w:ind w:firstLine="709"/>
              <w:jc w:val="both"/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</w:pPr>
            <w:r w:rsidRPr="00BF5296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>Комментари</w:t>
            </w:r>
            <w:r w:rsidR="00801F6B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>й</w:t>
            </w:r>
            <w:r w:rsidRPr="00BF5296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 xml:space="preserve"> Бюро по стандартам</w:t>
            </w:r>
            <w:r w:rsidR="00BF5296" w:rsidRPr="00BF5296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>.</w:t>
            </w:r>
            <w:r w:rsidR="00BF5296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 xml:space="preserve"> </w:t>
            </w:r>
            <w:r w:rsidR="00BF5DCC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t xml:space="preserve">В случае заключения двухсторонних Соглашений МГС с заинтересованными организациями, </w:t>
            </w:r>
            <w:r w:rsidR="00BF5DCC">
              <w:rPr>
                <w:rFonts w:ascii="Arial" w:eastAsia="Calibri" w:hAnsi="Arial" w:cs="Arial"/>
                <w:i/>
                <w:sz w:val="22"/>
                <w:szCs w:val="22"/>
                <w:lang w:val="ru-RU" w:eastAsia="ru-RU"/>
                <w14:ligatures w14:val="standardContextual"/>
              </w:rPr>
              <w:lastRenderedPageBreak/>
              <w:t xml:space="preserve">им будет на платной основе предоставляться информация о принимаемых документах по межгосударственной стандартизации, поступающих предложениях государств-участников Соглашения о присоединении или прекращения действия этих документов на территориях этих государств, материалы по заседаниям МГС, НТК и РГ, информацию о ССД СНГ и другое. </w:t>
            </w:r>
          </w:p>
          <w:p w:rsidR="00F707BF" w:rsidRPr="000C0216" w:rsidRDefault="00F707BF" w:rsidP="00F707BF">
            <w:pPr>
              <w:autoSpaceDE w:val="0"/>
              <w:autoSpaceDN w:val="0"/>
              <w:adjustRightInd w:val="0"/>
              <w:spacing w:before="120" w:after="120" w:line="240" w:lineRule="auto"/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F707BF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На основании вышеизложенного, считаем необходимым конкретизировать предложения по дополнительным источникам финансирования, а также указать необходимость разработки новых актов или корректировки уже принятых в рамках МГС документов, направленных на реализацию изложенных в письме предложений.</w:t>
            </w:r>
          </w:p>
        </w:tc>
      </w:tr>
      <w:tr w:rsidR="00731B1B" w:rsidRPr="00A2477F" w:rsidTr="00F707BF">
        <w:trPr>
          <w:trHeight w:val="458"/>
        </w:trPr>
        <w:tc>
          <w:tcPr>
            <w:tcW w:w="5000" w:type="pct"/>
            <w:shd w:val="clear" w:color="auto" w:fill="auto"/>
          </w:tcPr>
          <w:p w:rsidR="00587732" w:rsidRDefault="00731B1B" w:rsidP="00801F6B">
            <w:pPr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lastRenderedPageBreak/>
              <w:t>Республика Казахстан</w:t>
            </w:r>
          </w:p>
          <w:p w:rsidR="00801F6B" w:rsidRPr="00B1263D" w:rsidRDefault="00801F6B" w:rsidP="00801F6B">
            <w:pPr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(Информация не поступала)</w:t>
            </w:r>
          </w:p>
        </w:tc>
      </w:tr>
      <w:tr w:rsidR="00117EB3" w:rsidRPr="00A2477F" w:rsidTr="00F04107">
        <w:trPr>
          <w:trHeight w:val="1301"/>
        </w:trPr>
        <w:tc>
          <w:tcPr>
            <w:tcW w:w="5000" w:type="pct"/>
            <w:shd w:val="clear" w:color="auto" w:fill="auto"/>
          </w:tcPr>
          <w:p w:rsidR="00B00556" w:rsidRPr="00B1263D" w:rsidRDefault="00B00556" w:rsidP="00B00556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Кыргызская Республика</w:t>
            </w:r>
          </w:p>
          <w:p w:rsidR="00591EF8" w:rsidRPr="00B1263D" w:rsidRDefault="00B00556" w:rsidP="007812B4">
            <w:pPr>
              <w:ind w:left="-94" w:right="-87"/>
              <w:jc w:val="center"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6C0F38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письмо директора 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Центра по стандартизации и метрологии </w:t>
            </w:r>
            <w:r w:rsid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br/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при Министерстве экономики и коммерции Кыргызской Республики А.Н. Мусаева </w:t>
            </w:r>
            <w:r w:rsid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br/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№ 02-1/</w:t>
            </w:r>
            <w:r w:rsidR="007812B4">
              <w:rPr>
                <w:rFonts w:ascii="Arial" w:hAnsi="Arial" w:cs="Arial"/>
                <w:b/>
                <w:sz w:val="24"/>
                <w:szCs w:val="24"/>
                <w:lang w:val="ru-RU"/>
              </w:rPr>
              <w:t>2249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от 2</w:t>
            </w:r>
            <w:r w:rsidR="007812B4">
              <w:rPr>
                <w:rFonts w:ascii="Arial" w:hAnsi="Arial" w:cs="Arial"/>
                <w:b/>
                <w:sz w:val="24"/>
                <w:szCs w:val="24"/>
                <w:lang w:val="ru-RU"/>
              </w:rPr>
              <w:t>7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.1</w:t>
            </w:r>
            <w:r w:rsidR="007812B4">
              <w:rPr>
                <w:rFonts w:ascii="Arial" w:hAnsi="Arial" w:cs="Arial"/>
                <w:b/>
                <w:sz w:val="24"/>
                <w:szCs w:val="24"/>
                <w:lang w:val="ru-RU"/>
              </w:rPr>
              <w:t>1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.2025</w:t>
            </w: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C2409F" w:rsidRPr="00A2477F" w:rsidTr="00C2409F">
        <w:trPr>
          <w:trHeight w:val="368"/>
        </w:trPr>
        <w:tc>
          <w:tcPr>
            <w:tcW w:w="5000" w:type="pct"/>
            <w:shd w:val="clear" w:color="auto" w:fill="auto"/>
          </w:tcPr>
          <w:p w:rsidR="007812B4" w:rsidRPr="007812B4" w:rsidRDefault="007812B4" w:rsidP="007812B4">
            <w:pPr>
              <w:spacing w:before="120" w:after="120"/>
              <w:ind w:left="-96" w:right="-85" w:firstLine="692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Кыргызстандарт</w:t>
            </w:r>
            <w:proofErr w:type="spellEnd"/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 xml:space="preserve"> поддерживает предложенные варианты дополнительных</w:t>
            </w:r>
            <w:r w:rsidR="009B43F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источников финансирования при условии, что их реализация не повлечёт финансовых или</w:t>
            </w:r>
            <w:r w:rsidR="009B43F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организационных обязательств для национальных органов по стандартизации государств– участников МГС, а именно:</w:t>
            </w:r>
          </w:p>
          <w:p w:rsidR="007812B4" w:rsidRPr="007812B4" w:rsidRDefault="007812B4" w:rsidP="007812B4">
            <w:pPr>
              <w:spacing w:before="120" w:after="120"/>
              <w:ind w:left="-96" w:right="-85" w:firstLine="692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– предоставление на платной основе, на основании двухсторонних соглашений с</w:t>
            </w:r>
            <w:r w:rsidR="009B43F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заинтересованными организациями, информации о принимаемых документах по</w:t>
            </w:r>
            <w:r w:rsidR="009B43F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межгосударственной стандартизации и возможности участия в работе рабочих органов</w:t>
            </w:r>
            <w:r w:rsidR="009B43F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МГС в качестве наблюдателя;</w:t>
            </w:r>
          </w:p>
          <w:p w:rsidR="007812B4" w:rsidRPr="007812B4" w:rsidRDefault="007812B4" w:rsidP="007812B4">
            <w:pPr>
              <w:spacing w:before="120" w:after="120"/>
              <w:ind w:left="-96" w:right="-85" w:firstLine="692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– предоставление на платной основе, на основании двухсторонних соглашений с</w:t>
            </w:r>
            <w:r w:rsidR="009B43F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другими странами, текстов документов и/или интересующей информации, а также</w:t>
            </w:r>
            <w:r w:rsidR="009B43F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возможности участия в работе рабочих органов МГС в качестве наблюдателя.</w:t>
            </w:r>
          </w:p>
          <w:p w:rsidR="00C2409F" w:rsidRPr="00B1263D" w:rsidRDefault="007812B4" w:rsidP="009B43FF">
            <w:pPr>
              <w:spacing w:before="120" w:after="120"/>
              <w:ind w:left="-96" w:right="-85" w:firstLine="692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Считаем, что реализация данных предложений будет способствовать расширению</w:t>
            </w:r>
            <w:r w:rsidR="009B43F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информационного взаимодействия, вовлечению заинтересованных сторон и повышению</w:t>
            </w:r>
            <w:r w:rsidR="009B43F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7812B4">
              <w:rPr>
                <w:rFonts w:ascii="Arial" w:hAnsi="Arial" w:cs="Arial"/>
                <w:sz w:val="24"/>
                <w:szCs w:val="24"/>
                <w:lang w:val="ru-RU"/>
              </w:rPr>
              <w:t>эффективности деятельности МГС.</w:t>
            </w:r>
          </w:p>
        </w:tc>
      </w:tr>
      <w:tr w:rsidR="00F04107" w:rsidRPr="00B1263D" w:rsidTr="00F04107">
        <w:trPr>
          <w:trHeight w:val="964"/>
        </w:trPr>
        <w:tc>
          <w:tcPr>
            <w:tcW w:w="5000" w:type="pct"/>
            <w:shd w:val="clear" w:color="auto" w:fill="FFFFFF" w:themeFill="background1"/>
          </w:tcPr>
          <w:p w:rsidR="00F04107" w:rsidRPr="00B1263D" w:rsidRDefault="00F04107" w:rsidP="00697E93">
            <w:pPr>
              <w:ind w:left="-94" w:right="-87"/>
              <w:jc w:val="center"/>
              <w:rPr>
                <w:rFonts w:ascii="Arial" w:hAnsi="Arial" w:cs="Arial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Российская Федерация</w:t>
            </w:r>
          </w:p>
          <w:p w:rsidR="00F04107" w:rsidRPr="00B1263D" w:rsidRDefault="00F04107" w:rsidP="000942B6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(письмо Руководителя </w:t>
            </w:r>
            <w:proofErr w:type="spellStart"/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Росстандарта</w:t>
            </w:r>
            <w:proofErr w:type="spellEnd"/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А.П.Шалаева</w:t>
            </w:r>
            <w:proofErr w:type="spellEnd"/>
          </w:p>
          <w:p w:rsidR="00F04107" w:rsidRPr="00B1263D" w:rsidRDefault="00F04107" w:rsidP="005450F1">
            <w:pPr>
              <w:ind w:left="-94" w:right="-87"/>
              <w:jc w:val="center"/>
              <w:rPr>
                <w:rFonts w:ascii="Arial" w:hAnsi="Arial" w:cs="Arial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№ АШ-</w:t>
            </w:r>
            <w:r w:rsidR="005450F1">
              <w:rPr>
                <w:rFonts w:ascii="Arial" w:hAnsi="Arial" w:cs="Arial"/>
                <w:b/>
                <w:sz w:val="24"/>
                <w:szCs w:val="24"/>
                <w:lang w:val="ru-RU"/>
              </w:rPr>
              <w:t>4954</w:t>
            </w: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/02 от 18.11.2025</w:t>
            </w:r>
          </w:p>
        </w:tc>
      </w:tr>
      <w:tr w:rsidR="00C2409F" w:rsidRPr="00A2477F" w:rsidTr="00EE007C">
        <w:trPr>
          <w:trHeight w:val="1425"/>
        </w:trPr>
        <w:tc>
          <w:tcPr>
            <w:tcW w:w="5000" w:type="pct"/>
            <w:shd w:val="clear" w:color="auto" w:fill="FFFFFF" w:themeFill="background1"/>
          </w:tcPr>
          <w:p w:rsidR="005450F1" w:rsidRPr="005450F1" w:rsidRDefault="005450F1" w:rsidP="005450F1">
            <w:pPr>
              <w:ind w:left="-94" w:right="-87" w:firstLine="832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450F1">
              <w:rPr>
                <w:rFonts w:ascii="Arial" w:hAnsi="Arial" w:cs="Arial"/>
                <w:sz w:val="24"/>
                <w:szCs w:val="24"/>
                <w:lang w:val="ru-RU"/>
              </w:rPr>
              <w:t>В соответствии с Вашим письмом от 5 ноября 2025 г. № 2/626 и пунктом 2.9 протокола Совещания Членов МГС, состоявшегося в рамках 67-го заседания МГС, касательно проработки вариантов дополнительных источников финансирования, Федеральное агентство по техническому регулированию и метрологии (Госстандарт) сообщает.</w:t>
            </w:r>
          </w:p>
          <w:p w:rsidR="00697E93" w:rsidRDefault="005450F1" w:rsidP="005450F1">
            <w:pPr>
              <w:ind w:left="-94" w:right="-87" w:firstLine="832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450F1">
              <w:rPr>
                <w:rFonts w:ascii="Arial" w:hAnsi="Arial" w:cs="Arial"/>
                <w:sz w:val="24"/>
                <w:szCs w:val="24"/>
                <w:lang w:val="ru-RU"/>
              </w:rPr>
              <w:t>Представляется целесообразным рассмотреть указанные вопросы в рамках предстоящего 68-го заседания МГС, запланированного к проведению 11 декабря 2025 года в 13:00 в г. Москве на площадке Исполнительного комитета СНГ.</w:t>
            </w:r>
          </w:p>
          <w:p w:rsidR="007A2EA4" w:rsidRPr="00B1263D" w:rsidRDefault="007A2EA4" w:rsidP="005450F1">
            <w:pPr>
              <w:ind w:left="-94" w:right="-87" w:firstLine="832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</w:p>
        </w:tc>
      </w:tr>
      <w:tr w:rsidR="00C2409F" w:rsidRPr="00A2477F" w:rsidTr="00A44601">
        <w:tc>
          <w:tcPr>
            <w:tcW w:w="5000" w:type="pct"/>
            <w:shd w:val="clear" w:color="auto" w:fill="FFFFFF" w:themeFill="background1"/>
          </w:tcPr>
          <w:p w:rsidR="00C2409F" w:rsidRPr="004B3266" w:rsidRDefault="004B3266" w:rsidP="00E6757F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lastRenderedPageBreak/>
              <w:t>(п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исьмо начальника 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Управления 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правового обеспечения и международного взаимодействия 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br/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Федеральной службы по аккредитации </w:t>
            </w:r>
            <w:proofErr w:type="spellStart"/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М.С.Пигалицына</w:t>
            </w:r>
            <w:proofErr w:type="spellEnd"/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№ </w:t>
            </w:r>
            <w:r w:rsidR="00E6757F">
              <w:rPr>
                <w:rFonts w:ascii="Arial" w:hAnsi="Arial" w:cs="Arial"/>
                <w:b/>
                <w:sz w:val="24"/>
                <w:szCs w:val="24"/>
                <w:lang w:val="ru-RU"/>
              </w:rPr>
              <w:t>17087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/07-МП 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от </w:t>
            </w:r>
            <w:r w:rsidR="00E6757F">
              <w:rPr>
                <w:rFonts w:ascii="Arial" w:hAnsi="Arial" w:cs="Arial"/>
                <w:b/>
                <w:sz w:val="24"/>
                <w:szCs w:val="24"/>
                <w:lang w:val="ru-RU"/>
              </w:rPr>
              <w:t>24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.1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1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.2025)</w:t>
            </w:r>
          </w:p>
        </w:tc>
      </w:tr>
      <w:tr w:rsidR="00B1263D" w:rsidRPr="00A2477F" w:rsidTr="00B1263D">
        <w:tc>
          <w:tcPr>
            <w:tcW w:w="5000" w:type="pct"/>
            <w:shd w:val="clear" w:color="auto" w:fill="FFFFFF" w:themeFill="background1"/>
          </w:tcPr>
          <w:p w:rsidR="006A561B" w:rsidRPr="00B1263D" w:rsidRDefault="00B1263D" w:rsidP="00E6757F">
            <w:pPr>
              <w:widowControl/>
              <w:autoSpaceDE w:val="0"/>
              <w:autoSpaceDN w:val="0"/>
              <w:adjustRightInd w:val="0"/>
              <w:spacing w:line="240" w:lineRule="auto"/>
              <w:ind w:firstLine="738"/>
              <w:jc w:val="both"/>
              <w:rPr>
                <w:rFonts w:ascii="Arial" w:hAnsi="Arial" w:cs="Arial"/>
                <w:sz w:val="26"/>
                <w:szCs w:val="26"/>
                <w:lang w:val="ru-RU"/>
              </w:rPr>
            </w:pPr>
            <w:proofErr w:type="spellStart"/>
            <w:r w:rsidRPr="00E77BDD">
              <w:rPr>
                <w:rFonts w:ascii="Arial" w:hAnsi="Arial" w:cs="Arial"/>
                <w:sz w:val="24"/>
                <w:szCs w:val="24"/>
                <w:lang w:val="ru-RU"/>
              </w:rPr>
              <w:t>Росаккредитация</w:t>
            </w:r>
            <w:proofErr w:type="spellEnd"/>
            <w:r w:rsidRPr="00E77BDD">
              <w:rPr>
                <w:rFonts w:ascii="Arial" w:hAnsi="Arial" w:cs="Arial"/>
                <w:sz w:val="24"/>
                <w:szCs w:val="24"/>
                <w:lang w:val="ru-RU"/>
              </w:rPr>
              <w:t xml:space="preserve"> сообщает об отсутствии в пределах установленной компетенции замечаний и предложений</w:t>
            </w:r>
            <w:r w:rsidR="00E6757F" w:rsidRPr="00E77BDD">
              <w:rPr>
                <w:rFonts w:ascii="Arial" w:hAnsi="Arial" w:cs="Arial"/>
                <w:sz w:val="24"/>
                <w:szCs w:val="24"/>
                <w:lang w:val="ru-RU"/>
              </w:rPr>
              <w:t xml:space="preserve"> по варианты дополнительных источников на финансирование Бюро по стандартам, связанных с организацией работы МГС и содержанием аппарата</w:t>
            </w:r>
            <w:r w:rsidRPr="00E77BDD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</w:tc>
      </w:tr>
      <w:tr w:rsidR="007A1B11" w:rsidRPr="00A2477F" w:rsidTr="00801F6B">
        <w:trPr>
          <w:trHeight w:val="715"/>
        </w:trPr>
        <w:tc>
          <w:tcPr>
            <w:tcW w:w="5000" w:type="pct"/>
            <w:shd w:val="clear" w:color="auto" w:fill="auto"/>
          </w:tcPr>
          <w:p w:rsidR="007A1B11" w:rsidRPr="007F0F5C" w:rsidRDefault="007A1B11" w:rsidP="007A1B11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7F0F5C">
              <w:rPr>
                <w:rFonts w:ascii="Arial" w:hAnsi="Arial" w:cs="Arial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7A1B11" w:rsidRPr="00E6757F" w:rsidRDefault="007A1B11" w:rsidP="00801F6B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  <w:lang w:val="ru-RU"/>
              </w:rPr>
            </w:pPr>
            <w:r w:rsidRPr="00801F6B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801F6B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Информация не поступала</w:t>
            </w:r>
            <w:r w:rsidRPr="00801F6B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8B6D83" w:rsidRPr="00E6757F" w:rsidTr="007F0F5C">
        <w:trPr>
          <w:trHeight w:val="407"/>
        </w:trPr>
        <w:tc>
          <w:tcPr>
            <w:tcW w:w="5000" w:type="pct"/>
            <w:shd w:val="clear" w:color="auto" w:fill="auto"/>
          </w:tcPr>
          <w:p w:rsidR="00801F6B" w:rsidRDefault="008B6D83" w:rsidP="007F0F5C">
            <w:pPr>
              <w:ind w:left="-94" w:right="-87" w:hanging="19"/>
              <w:jc w:val="center"/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</w:pPr>
            <w:r w:rsidRPr="00616B82">
              <w:rPr>
                <w:rFonts w:ascii="Arial" w:hAnsi="Arial" w:cs="Arial"/>
                <w:b/>
                <w:sz w:val="24"/>
                <w:szCs w:val="24"/>
                <w:lang w:val="ru-RU"/>
              </w:rPr>
              <w:t>Туркменистан</w:t>
            </w:r>
            <w:r w:rsidR="00801F6B" w:rsidRPr="00616B82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 </w:t>
            </w:r>
          </w:p>
          <w:p w:rsidR="00212AB0" w:rsidRPr="00616B82" w:rsidRDefault="00801F6B" w:rsidP="007F0F5C">
            <w:pPr>
              <w:ind w:left="-94" w:right="-87" w:hanging="19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(</w:t>
            </w:r>
            <w:r w:rsidRPr="00616B82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Информация не поступала</w:t>
            </w:r>
            <w:r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)</w:t>
            </w:r>
          </w:p>
        </w:tc>
      </w:tr>
      <w:tr w:rsidR="00F9576F" w:rsidRPr="00E6757F" w:rsidTr="00F04107">
        <w:trPr>
          <w:trHeight w:val="981"/>
        </w:trPr>
        <w:tc>
          <w:tcPr>
            <w:tcW w:w="5000" w:type="pct"/>
            <w:shd w:val="clear" w:color="auto" w:fill="auto"/>
          </w:tcPr>
          <w:p w:rsidR="00F9576F" w:rsidRPr="00DE3EEC" w:rsidRDefault="00F9576F" w:rsidP="000A05D1">
            <w:pPr>
              <w:ind w:left="-94" w:right="-87" w:hanging="19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F9576F" w:rsidRPr="00DE3EEC" w:rsidRDefault="005139CC" w:rsidP="00DE3EEC">
            <w:pPr>
              <w:ind w:left="-94" w:right="-87" w:hanging="19"/>
              <w:jc w:val="center"/>
              <w:rPr>
                <w:rFonts w:ascii="Arial" w:hAnsi="Arial" w:cs="Arial"/>
                <w:b/>
                <w:sz w:val="26"/>
                <w:szCs w:val="26"/>
                <w:lang w:val="ru-RU"/>
              </w:rPr>
            </w:pPr>
            <w:r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063D8C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письмо </w:t>
            </w:r>
            <w:r w:rsidR="004B3266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заместителя </w:t>
            </w:r>
            <w:r w:rsidR="00063D8C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директора </w:t>
            </w:r>
            <w:r w:rsidR="004B3266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Узбекского агентства по техническому регулированию </w:t>
            </w:r>
            <w:r w:rsidR="004B3266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br/>
              <w:t xml:space="preserve">при Кабинете Министров Республики Узбекистан </w:t>
            </w:r>
            <w:proofErr w:type="spellStart"/>
            <w:r w:rsidR="004B3266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>О.Тохирова</w:t>
            </w:r>
            <w:proofErr w:type="spellEnd"/>
            <w:r w:rsidR="004B3266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r w:rsidR="00063D8C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>№ 0</w:t>
            </w:r>
            <w:r w:rsidR="004B3266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>3-15-</w:t>
            </w:r>
            <w:r w:rsidR="00DE3EEC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>4415</w:t>
            </w:r>
            <w:r w:rsidR="004B3266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от 1</w:t>
            </w:r>
            <w:r w:rsidR="00DE3EEC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>1</w:t>
            </w:r>
            <w:r w:rsidR="004B3266"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>.11.2025</w:t>
            </w:r>
            <w:r w:rsidRPr="00DE3EEC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8B6D83" w:rsidRPr="00A2477F" w:rsidTr="004A638A">
        <w:tc>
          <w:tcPr>
            <w:tcW w:w="5000" w:type="pct"/>
            <w:shd w:val="clear" w:color="auto" w:fill="auto"/>
          </w:tcPr>
          <w:p w:rsidR="008B6D83" w:rsidRPr="00DE3EEC" w:rsidRDefault="00DE3EEC" w:rsidP="00996B67">
            <w:pPr>
              <w:ind w:firstLine="88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E3EEC">
              <w:rPr>
                <w:rFonts w:ascii="TimesNewRomanPSMT" w:hAnsi="TimesNewRomanPSMT" w:cs="TimesNewRomanPSMT"/>
                <w:sz w:val="26"/>
                <w:szCs w:val="26"/>
                <w:lang w:val="ru-RU" w:eastAsia="ru-RU"/>
              </w:rPr>
              <w:t>По результатам рассмотрения предложения вариантов дополнительных источников финансирования Бюро по стандартам</w:t>
            </w:r>
            <w:r w:rsidR="00996B67">
              <w:rPr>
                <w:rFonts w:ascii="TimesNewRomanPSMT" w:hAnsi="TimesNewRomanPSMT" w:cs="TimesNewRomanPSMT"/>
                <w:sz w:val="26"/>
                <w:szCs w:val="26"/>
                <w:lang w:val="ru-RU" w:eastAsia="ru-RU"/>
              </w:rPr>
              <w:t xml:space="preserve"> </w:t>
            </w:r>
            <w:r w:rsidRPr="00DE3EEC">
              <w:rPr>
                <w:rFonts w:ascii="TimesNewRomanPSMT" w:hAnsi="TimesNewRomanPSMT" w:cs="TimesNewRomanPSMT"/>
                <w:sz w:val="26"/>
                <w:szCs w:val="26"/>
                <w:lang w:val="ru-RU" w:eastAsia="ru-RU"/>
              </w:rPr>
              <w:t>сообщаем, что не имеем возражений, информация принята к сведению</w:t>
            </w:r>
            <w:r w:rsidR="008B6D83" w:rsidRPr="00DE3EEC">
              <w:rPr>
                <w:rFonts w:ascii="TimesNewRomanPSMT" w:hAnsi="TimesNewRomanPSMT" w:cs="TimesNewRomanPSMT"/>
                <w:sz w:val="26"/>
                <w:szCs w:val="26"/>
                <w:lang w:val="ru-RU" w:eastAsia="ru-RU"/>
              </w:rPr>
              <w:t>.</w:t>
            </w:r>
          </w:p>
        </w:tc>
      </w:tr>
    </w:tbl>
    <w:p w:rsidR="007A061E" w:rsidRPr="004A638A" w:rsidRDefault="007A061E" w:rsidP="00373BFC">
      <w:pPr>
        <w:ind w:right="-8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7A061E" w:rsidRPr="004A638A" w:rsidSect="007A2EA4">
      <w:footerReference w:type="default" r:id="rId7"/>
      <w:pgSz w:w="16838" w:h="11906" w:orient="landscape"/>
      <w:pgMar w:top="709" w:right="1103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898" w:rsidRDefault="00B27898" w:rsidP="00814EFE">
      <w:pPr>
        <w:spacing w:line="240" w:lineRule="auto"/>
      </w:pPr>
      <w:r>
        <w:separator/>
      </w:r>
    </w:p>
  </w:endnote>
  <w:endnote w:type="continuationSeparator" w:id="0">
    <w:p w:rsidR="00B27898" w:rsidRDefault="00B27898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proofErr w:type="spellStart"/>
    <w:r w:rsidRPr="00934750">
      <w:rPr>
        <w:sz w:val="24"/>
        <w:szCs w:val="24"/>
      </w:rPr>
      <w:t>Лист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A2477F">
      <w:rPr>
        <w:noProof/>
        <w:sz w:val="24"/>
        <w:szCs w:val="24"/>
        <w:lang w:eastAsia="ru-RU"/>
      </w:rPr>
      <w:t>3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</w:t>
    </w:r>
    <w:proofErr w:type="spellStart"/>
    <w:r w:rsidRPr="00934750">
      <w:rPr>
        <w:sz w:val="24"/>
        <w:szCs w:val="24"/>
      </w:rPr>
      <w:t>Листов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A2477F">
      <w:rPr>
        <w:noProof/>
        <w:sz w:val="24"/>
        <w:szCs w:val="24"/>
        <w:lang w:eastAsia="ru-RU"/>
      </w:rPr>
      <w:t>3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898" w:rsidRDefault="00B27898" w:rsidP="00814EFE">
      <w:pPr>
        <w:spacing w:line="240" w:lineRule="auto"/>
      </w:pPr>
      <w:r>
        <w:separator/>
      </w:r>
    </w:p>
  </w:footnote>
  <w:footnote w:type="continuationSeparator" w:id="0">
    <w:p w:rsidR="00B27898" w:rsidRDefault="00B27898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1F1059D"/>
    <w:multiLevelType w:val="multilevel"/>
    <w:tmpl w:val="71F1059D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5D0F7D"/>
    <w:multiLevelType w:val="hybridMultilevel"/>
    <w:tmpl w:val="65AE310A"/>
    <w:lvl w:ilvl="0" w:tplc="2BA0136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57F40"/>
    <w:rsid w:val="00061A03"/>
    <w:rsid w:val="000624F2"/>
    <w:rsid w:val="00063D8C"/>
    <w:rsid w:val="0006488B"/>
    <w:rsid w:val="0006490E"/>
    <w:rsid w:val="00065D7B"/>
    <w:rsid w:val="00066947"/>
    <w:rsid w:val="00066B54"/>
    <w:rsid w:val="00076C12"/>
    <w:rsid w:val="0007768B"/>
    <w:rsid w:val="00081191"/>
    <w:rsid w:val="00083124"/>
    <w:rsid w:val="00083BAF"/>
    <w:rsid w:val="00087641"/>
    <w:rsid w:val="00093CBA"/>
    <w:rsid w:val="000942B6"/>
    <w:rsid w:val="00094A67"/>
    <w:rsid w:val="000A05D1"/>
    <w:rsid w:val="000A10EA"/>
    <w:rsid w:val="000A62ED"/>
    <w:rsid w:val="000A7D4D"/>
    <w:rsid w:val="000B3CAB"/>
    <w:rsid w:val="000B5FB4"/>
    <w:rsid w:val="000B6DD9"/>
    <w:rsid w:val="000B6EA5"/>
    <w:rsid w:val="000C0216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3A8F"/>
    <w:rsid w:val="000E6255"/>
    <w:rsid w:val="000F09AA"/>
    <w:rsid w:val="000F0F71"/>
    <w:rsid w:val="000F3D05"/>
    <w:rsid w:val="000F4160"/>
    <w:rsid w:val="000F427E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3A76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87AF4"/>
    <w:rsid w:val="00195114"/>
    <w:rsid w:val="0019698F"/>
    <w:rsid w:val="00196E5D"/>
    <w:rsid w:val="001A00D7"/>
    <w:rsid w:val="001A18AF"/>
    <w:rsid w:val="001A24E0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D22E2"/>
    <w:rsid w:val="001D4B89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12AB0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0853"/>
    <w:rsid w:val="0024181B"/>
    <w:rsid w:val="00242778"/>
    <w:rsid w:val="00242BFE"/>
    <w:rsid w:val="00243997"/>
    <w:rsid w:val="00246E76"/>
    <w:rsid w:val="00247076"/>
    <w:rsid w:val="002475A2"/>
    <w:rsid w:val="00250919"/>
    <w:rsid w:val="0025221A"/>
    <w:rsid w:val="00254E25"/>
    <w:rsid w:val="002603F4"/>
    <w:rsid w:val="0026213C"/>
    <w:rsid w:val="00265748"/>
    <w:rsid w:val="0027209A"/>
    <w:rsid w:val="00273404"/>
    <w:rsid w:val="0027445E"/>
    <w:rsid w:val="002818AB"/>
    <w:rsid w:val="00291AD9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B80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A3"/>
    <w:rsid w:val="0030762B"/>
    <w:rsid w:val="00310347"/>
    <w:rsid w:val="0031519C"/>
    <w:rsid w:val="00315E72"/>
    <w:rsid w:val="00316A64"/>
    <w:rsid w:val="00321614"/>
    <w:rsid w:val="00323257"/>
    <w:rsid w:val="00326BE0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5951"/>
    <w:rsid w:val="003F6D1F"/>
    <w:rsid w:val="004003E7"/>
    <w:rsid w:val="004006F7"/>
    <w:rsid w:val="00400C47"/>
    <w:rsid w:val="004017C6"/>
    <w:rsid w:val="00417D5F"/>
    <w:rsid w:val="00423782"/>
    <w:rsid w:val="00434B16"/>
    <w:rsid w:val="00441E2E"/>
    <w:rsid w:val="00442E65"/>
    <w:rsid w:val="00444921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430"/>
    <w:rsid w:val="004655AD"/>
    <w:rsid w:val="00467345"/>
    <w:rsid w:val="00467984"/>
    <w:rsid w:val="0047109C"/>
    <w:rsid w:val="00472326"/>
    <w:rsid w:val="0047380B"/>
    <w:rsid w:val="00475B98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1F9"/>
    <w:rsid w:val="004A48C2"/>
    <w:rsid w:val="004A638A"/>
    <w:rsid w:val="004B172A"/>
    <w:rsid w:val="004B3266"/>
    <w:rsid w:val="004B6947"/>
    <w:rsid w:val="004C3805"/>
    <w:rsid w:val="004C6B27"/>
    <w:rsid w:val="004C7600"/>
    <w:rsid w:val="004E069C"/>
    <w:rsid w:val="004F1C51"/>
    <w:rsid w:val="004F75B4"/>
    <w:rsid w:val="004F7C1D"/>
    <w:rsid w:val="005000DD"/>
    <w:rsid w:val="0050149A"/>
    <w:rsid w:val="00502962"/>
    <w:rsid w:val="00504814"/>
    <w:rsid w:val="005060EC"/>
    <w:rsid w:val="00506FFC"/>
    <w:rsid w:val="00507AF3"/>
    <w:rsid w:val="005139CC"/>
    <w:rsid w:val="0051521B"/>
    <w:rsid w:val="005227FC"/>
    <w:rsid w:val="00524E1E"/>
    <w:rsid w:val="00525665"/>
    <w:rsid w:val="00526FAD"/>
    <w:rsid w:val="00527ECD"/>
    <w:rsid w:val="00531076"/>
    <w:rsid w:val="00532869"/>
    <w:rsid w:val="00533AAC"/>
    <w:rsid w:val="005379A0"/>
    <w:rsid w:val="005429D7"/>
    <w:rsid w:val="00542C95"/>
    <w:rsid w:val="00544B3D"/>
    <w:rsid w:val="005450F1"/>
    <w:rsid w:val="00546A10"/>
    <w:rsid w:val="00546DAC"/>
    <w:rsid w:val="00547DBB"/>
    <w:rsid w:val="00552434"/>
    <w:rsid w:val="00555295"/>
    <w:rsid w:val="00560D14"/>
    <w:rsid w:val="005625E5"/>
    <w:rsid w:val="005648B1"/>
    <w:rsid w:val="005653B2"/>
    <w:rsid w:val="005769B7"/>
    <w:rsid w:val="00576F48"/>
    <w:rsid w:val="00577E86"/>
    <w:rsid w:val="005800D8"/>
    <w:rsid w:val="00580BC3"/>
    <w:rsid w:val="0058124D"/>
    <w:rsid w:val="00582C6B"/>
    <w:rsid w:val="00582D6A"/>
    <w:rsid w:val="00586082"/>
    <w:rsid w:val="0058773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4669"/>
    <w:rsid w:val="005D5715"/>
    <w:rsid w:val="005D5798"/>
    <w:rsid w:val="005E547E"/>
    <w:rsid w:val="005E6304"/>
    <w:rsid w:val="005E782E"/>
    <w:rsid w:val="005E7ECC"/>
    <w:rsid w:val="005F3185"/>
    <w:rsid w:val="005F4F81"/>
    <w:rsid w:val="005F738D"/>
    <w:rsid w:val="00600588"/>
    <w:rsid w:val="0060145D"/>
    <w:rsid w:val="00604E78"/>
    <w:rsid w:val="00605DE7"/>
    <w:rsid w:val="00614174"/>
    <w:rsid w:val="00615643"/>
    <w:rsid w:val="00616B82"/>
    <w:rsid w:val="00637430"/>
    <w:rsid w:val="00641E46"/>
    <w:rsid w:val="00643E0E"/>
    <w:rsid w:val="00646937"/>
    <w:rsid w:val="00660FEE"/>
    <w:rsid w:val="00661B45"/>
    <w:rsid w:val="00661FB3"/>
    <w:rsid w:val="00665B61"/>
    <w:rsid w:val="006671F7"/>
    <w:rsid w:val="006718F8"/>
    <w:rsid w:val="00672986"/>
    <w:rsid w:val="00672995"/>
    <w:rsid w:val="00674824"/>
    <w:rsid w:val="00674884"/>
    <w:rsid w:val="00674AD2"/>
    <w:rsid w:val="00676671"/>
    <w:rsid w:val="006808BA"/>
    <w:rsid w:val="00681694"/>
    <w:rsid w:val="006834B7"/>
    <w:rsid w:val="00691427"/>
    <w:rsid w:val="006930B4"/>
    <w:rsid w:val="006958AC"/>
    <w:rsid w:val="00697E93"/>
    <w:rsid w:val="006A561B"/>
    <w:rsid w:val="006A7065"/>
    <w:rsid w:val="006B0B4F"/>
    <w:rsid w:val="006B1823"/>
    <w:rsid w:val="006B461F"/>
    <w:rsid w:val="006B51B9"/>
    <w:rsid w:val="006C0427"/>
    <w:rsid w:val="006C0DEC"/>
    <w:rsid w:val="006C0F38"/>
    <w:rsid w:val="006C1B1A"/>
    <w:rsid w:val="006C5375"/>
    <w:rsid w:val="006C57DD"/>
    <w:rsid w:val="006C7E78"/>
    <w:rsid w:val="006D1E5D"/>
    <w:rsid w:val="006D4837"/>
    <w:rsid w:val="006D5144"/>
    <w:rsid w:val="006D6B48"/>
    <w:rsid w:val="006E0353"/>
    <w:rsid w:val="006E0C8D"/>
    <w:rsid w:val="006E1594"/>
    <w:rsid w:val="006E4226"/>
    <w:rsid w:val="006E53E1"/>
    <w:rsid w:val="006E5DBC"/>
    <w:rsid w:val="006E77E1"/>
    <w:rsid w:val="006F1113"/>
    <w:rsid w:val="006F2C7E"/>
    <w:rsid w:val="006F3417"/>
    <w:rsid w:val="006F37AB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25D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1D02"/>
    <w:rsid w:val="00763E50"/>
    <w:rsid w:val="00765FB6"/>
    <w:rsid w:val="007662C8"/>
    <w:rsid w:val="0077203F"/>
    <w:rsid w:val="0077214F"/>
    <w:rsid w:val="0077217B"/>
    <w:rsid w:val="007812B4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2EA4"/>
    <w:rsid w:val="007A39B8"/>
    <w:rsid w:val="007A6667"/>
    <w:rsid w:val="007B0AB5"/>
    <w:rsid w:val="007B0D77"/>
    <w:rsid w:val="007B26AE"/>
    <w:rsid w:val="007C0EF6"/>
    <w:rsid w:val="007C4CB4"/>
    <w:rsid w:val="007C7B2A"/>
    <w:rsid w:val="007D3C8E"/>
    <w:rsid w:val="007E081D"/>
    <w:rsid w:val="007E1640"/>
    <w:rsid w:val="007E377F"/>
    <w:rsid w:val="007F0F5C"/>
    <w:rsid w:val="007F2BF2"/>
    <w:rsid w:val="007F3880"/>
    <w:rsid w:val="007F523A"/>
    <w:rsid w:val="007F5874"/>
    <w:rsid w:val="00800104"/>
    <w:rsid w:val="008019F8"/>
    <w:rsid w:val="00801F6B"/>
    <w:rsid w:val="0080577D"/>
    <w:rsid w:val="008104C6"/>
    <w:rsid w:val="008110A7"/>
    <w:rsid w:val="00814EFE"/>
    <w:rsid w:val="00816813"/>
    <w:rsid w:val="00821943"/>
    <w:rsid w:val="0082575D"/>
    <w:rsid w:val="008302DE"/>
    <w:rsid w:val="00830DA5"/>
    <w:rsid w:val="00831DA5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4473"/>
    <w:rsid w:val="00865A16"/>
    <w:rsid w:val="0086615C"/>
    <w:rsid w:val="0086680D"/>
    <w:rsid w:val="00867FB7"/>
    <w:rsid w:val="00876C31"/>
    <w:rsid w:val="008834EA"/>
    <w:rsid w:val="0088566D"/>
    <w:rsid w:val="008920E4"/>
    <w:rsid w:val="00892F29"/>
    <w:rsid w:val="00893DA3"/>
    <w:rsid w:val="008A0AE5"/>
    <w:rsid w:val="008A7F54"/>
    <w:rsid w:val="008B236A"/>
    <w:rsid w:val="008B43A8"/>
    <w:rsid w:val="008B6402"/>
    <w:rsid w:val="008B6D83"/>
    <w:rsid w:val="008C1274"/>
    <w:rsid w:val="008C1423"/>
    <w:rsid w:val="008C2A40"/>
    <w:rsid w:val="008C6303"/>
    <w:rsid w:val="008C66D0"/>
    <w:rsid w:val="008D0A4A"/>
    <w:rsid w:val="008D1146"/>
    <w:rsid w:val="008D16E7"/>
    <w:rsid w:val="008D259C"/>
    <w:rsid w:val="008D2ABB"/>
    <w:rsid w:val="008D3819"/>
    <w:rsid w:val="008D3C6E"/>
    <w:rsid w:val="008D424A"/>
    <w:rsid w:val="008D6EB7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20FD"/>
    <w:rsid w:val="009032EC"/>
    <w:rsid w:val="00903C6E"/>
    <w:rsid w:val="00911C37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479F"/>
    <w:rsid w:val="00945E2E"/>
    <w:rsid w:val="009479CD"/>
    <w:rsid w:val="00947D67"/>
    <w:rsid w:val="009516AD"/>
    <w:rsid w:val="00953645"/>
    <w:rsid w:val="00955B40"/>
    <w:rsid w:val="009570F8"/>
    <w:rsid w:val="009637C1"/>
    <w:rsid w:val="00963DAE"/>
    <w:rsid w:val="0096405D"/>
    <w:rsid w:val="009642FC"/>
    <w:rsid w:val="00964E42"/>
    <w:rsid w:val="0096598F"/>
    <w:rsid w:val="00966A4B"/>
    <w:rsid w:val="00967254"/>
    <w:rsid w:val="00975007"/>
    <w:rsid w:val="0098347F"/>
    <w:rsid w:val="009871D5"/>
    <w:rsid w:val="00990A7E"/>
    <w:rsid w:val="009922B6"/>
    <w:rsid w:val="00992A53"/>
    <w:rsid w:val="00992C4A"/>
    <w:rsid w:val="00996B67"/>
    <w:rsid w:val="009A0694"/>
    <w:rsid w:val="009A3A0C"/>
    <w:rsid w:val="009A42B0"/>
    <w:rsid w:val="009B12A6"/>
    <w:rsid w:val="009B2632"/>
    <w:rsid w:val="009B2695"/>
    <w:rsid w:val="009B43FF"/>
    <w:rsid w:val="009B7069"/>
    <w:rsid w:val="009C159F"/>
    <w:rsid w:val="009C2E58"/>
    <w:rsid w:val="009C4267"/>
    <w:rsid w:val="009D04BE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984"/>
    <w:rsid w:val="009E4DE8"/>
    <w:rsid w:val="009E6338"/>
    <w:rsid w:val="009F5D59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477F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4601"/>
    <w:rsid w:val="00A4606D"/>
    <w:rsid w:val="00A46330"/>
    <w:rsid w:val="00A46D8E"/>
    <w:rsid w:val="00A55205"/>
    <w:rsid w:val="00A613F5"/>
    <w:rsid w:val="00A672F3"/>
    <w:rsid w:val="00A70317"/>
    <w:rsid w:val="00A71BD9"/>
    <w:rsid w:val="00A769CD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D65"/>
    <w:rsid w:val="00AC7242"/>
    <w:rsid w:val="00AC775A"/>
    <w:rsid w:val="00AC7D8E"/>
    <w:rsid w:val="00AD1727"/>
    <w:rsid w:val="00AD37C5"/>
    <w:rsid w:val="00AD3C22"/>
    <w:rsid w:val="00AD4CFB"/>
    <w:rsid w:val="00AD58D9"/>
    <w:rsid w:val="00AD5F40"/>
    <w:rsid w:val="00AD7961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7388"/>
    <w:rsid w:val="00B1029B"/>
    <w:rsid w:val="00B1263D"/>
    <w:rsid w:val="00B2165E"/>
    <w:rsid w:val="00B2265D"/>
    <w:rsid w:val="00B2353A"/>
    <w:rsid w:val="00B23BED"/>
    <w:rsid w:val="00B242EA"/>
    <w:rsid w:val="00B251E0"/>
    <w:rsid w:val="00B25606"/>
    <w:rsid w:val="00B25B81"/>
    <w:rsid w:val="00B2671D"/>
    <w:rsid w:val="00B26EC4"/>
    <w:rsid w:val="00B276A6"/>
    <w:rsid w:val="00B27898"/>
    <w:rsid w:val="00B3226B"/>
    <w:rsid w:val="00B3267C"/>
    <w:rsid w:val="00B3383A"/>
    <w:rsid w:val="00B37842"/>
    <w:rsid w:val="00B42ADC"/>
    <w:rsid w:val="00B471F3"/>
    <w:rsid w:val="00B5084C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8032B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2D19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5296"/>
    <w:rsid w:val="00BF5DCC"/>
    <w:rsid w:val="00BF6441"/>
    <w:rsid w:val="00C032AB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09F"/>
    <w:rsid w:val="00C24EC9"/>
    <w:rsid w:val="00C26AC9"/>
    <w:rsid w:val="00C26C69"/>
    <w:rsid w:val="00C274DE"/>
    <w:rsid w:val="00C30D48"/>
    <w:rsid w:val="00C33964"/>
    <w:rsid w:val="00C36F65"/>
    <w:rsid w:val="00C37E7E"/>
    <w:rsid w:val="00C4228F"/>
    <w:rsid w:val="00C46DDB"/>
    <w:rsid w:val="00C51C3A"/>
    <w:rsid w:val="00C54E31"/>
    <w:rsid w:val="00C61D06"/>
    <w:rsid w:val="00C62432"/>
    <w:rsid w:val="00C63889"/>
    <w:rsid w:val="00C64715"/>
    <w:rsid w:val="00C6759B"/>
    <w:rsid w:val="00C74367"/>
    <w:rsid w:val="00C76FE1"/>
    <w:rsid w:val="00C771A6"/>
    <w:rsid w:val="00C77289"/>
    <w:rsid w:val="00C80678"/>
    <w:rsid w:val="00C81746"/>
    <w:rsid w:val="00C84910"/>
    <w:rsid w:val="00C85F46"/>
    <w:rsid w:val="00C90EFC"/>
    <w:rsid w:val="00CA2E45"/>
    <w:rsid w:val="00CA53D7"/>
    <w:rsid w:val="00CA67F0"/>
    <w:rsid w:val="00CA7041"/>
    <w:rsid w:val="00CB36A3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041A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1692"/>
    <w:rsid w:val="00D05A7E"/>
    <w:rsid w:val="00D05F06"/>
    <w:rsid w:val="00D072A9"/>
    <w:rsid w:val="00D110CB"/>
    <w:rsid w:val="00D11C5A"/>
    <w:rsid w:val="00D13FE7"/>
    <w:rsid w:val="00D1560B"/>
    <w:rsid w:val="00D201FA"/>
    <w:rsid w:val="00D20710"/>
    <w:rsid w:val="00D22444"/>
    <w:rsid w:val="00D309B8"/>
    <w:rsid w:val="00D355D1"/>
    <w:rsid w:val="00D4006A"/>
    <w:rsid w:val="00D40E94"/>
    <w:rsid w:val="00D4155D"/>
    <w:rsid w:val="00D43512"/>
    <w:rsid w:val="00D43525"/>
    <w:rsid w:val="00D43EDC"/>
    <w:rsid w:val="00D46E41"/>
    <w:rsid w:val="00D47624"/>
    <w:rsid w:val="00D500BA"/>
    <w:rsid w:val="00D50AA7"/>
    <w:rsid w:val="00D5120D"/>
    <w:rsid w:val="00D5131C"/>
    <w:rsid w:val="00D53A88"/>
    <w:rsid w:val="00D56D3D"/>
    <w:rsid w:val="00D61E15"/>
    <w:rsid w:val="00D65D28"/>
    <w:rsid w:val="00D70F70"/>
    <w:rsid w:val="00D771D8"/>
    <w:rsid w:val="00D86FE3"/>
    <w:rsid w:val="00D87FF6"/>
    <w:rsid w:val="00D901B3"/>
    <w:rsid w:val="00D906BC"/>
    <w:rsid w:val="00D93459"/>
    <w:rsid w:val="00D93521"/>
    <w:rsid w:val="00D97651"/>
    <w:rsid w:val="00DA0571"/>
    <w:rsid w:val="00DA2DEB"/>
    <w:rsid w:val="00DA3C51"/>
    <w:rsid w:val="00DB6E72"/>
    <w:rsid w:val="00DC1206"/>
    <w:rsid w:val="00DC439E"/>
    <w:rsid w:val="00DC5946"/>
    <w:rsid w:val="00DC5A0F"/>
    <w:rsid w:val="00DD2169"/>
    <w:rsid w:val="00DD5E48"/>
    <w:rsid w:val="00DE01D7"/>
    <w:rsid w:val="00DE01E0"/>
    <w:rsid w:val="00DE3EEC"/>
    <w:rsid w:val="00DE4F6D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45E3A"/>
    <w:rsid w:val="00E53C4E"/>
    <w:rsid w:val="00E56499"/>
    <w:rsid w:val="00E57B38"/>
    <w:rsid w:val="00E60A14"/>
    <w:rsid w:val="00E65D74"/>
    <w:rsid w:val="00E66240"/>
    <w:rsid w:val="00E665D1"/>
    <w:rsid w:val="00E6757F"/>
    <w:rsid w:val="00E70822"/>
    <w:rsid w:val="00E72E06"/>
    <w:rsid w:val="00E738AB"/>
    <w:rsid w:val="00E73ECF"/>
    <w:rsid w:val="00E778BF"/>
    <w:rsid w:val="00E77BDD"/>
    <w:rsid w:val="00E81E4F"/>
    <w:rsid w:val="00E83627"/>
    <w:rsid w:val="00E84600"/>
    <w:rsid w:val="00E85E6E"/>
    <w:rsid w:val="00E8665D"/>
    <w:rsid w:val="00E872D1"/>
    <w:rsid w:val="00E90E48"/>
    <w:rsid w:val="00E93954"/>
    <w:rsid w:val="00E94B71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0C55"/>
    <w:rsid w:val="00ED3141"/>
    <w:rsid w:val="00ED3424"/>
    <w:rsid w:val="00ED5544"/>
    <w:rsid w:val="00ED5B15"/>
    <w:rsid w:val="00EE007C"/>
    <w:rsid w:val="00EE0AB7"/>
    <w:rsid w:val="00EE2CA6"/>
    <w:rsid w:val="00EE4F27"/>
    <w:rsid w:val="00EF0FA4"/>
    <w:rsid w:val="00EF1536"/>
    <w:rsid w:val="00F02FF1"/>
    <w:rsid w:val="00F030CB"/>
    <w:rsid w:val="00F04107"/>
    <w:rsid w:val="00F053E7"/>
    <w:rsid w:val="00F05D73"/>
    <w:rsid w:val="00F10E92"/>
    <w:rsid w:val="00F1521A"/>
    <w:rsid w:val="00F2299B"/>
    <w:rsid w:val="00F2401D"/>
    <w:rsid w:val="00F31B65"/>
    <w:rsid w:val="00F327A8"/>
    <w:rsid w:val="00F3391A"/>
    <w:rsid w:val="00F3524A"/>
    <w:rsid w:val="00F35651"/>
    <w:rsid w:val="00F35D82"/>
    <w:rsid w:val="00F37760"/>
    <w:rsid w:val="00F457C8"/>
    <w:rsid w:val="00F466E7"/>
    <w:rsid w:val="00F627B8"/>
    <w:rsid w:val="00F64629"/>
    <w:rsid w:val="00F654EF"/>
    <w:rsid w:val="00F66AAE"/>
    <w:rsid w:val="00F672CD"/>
    <w:rsid w:val="00F70182"/>
    <w:rsid w:val="00F707BF"/>
    <w:rsid w:val="00F7408D"/>
    <w:rsid w:val="00F76B6A"/>
    <w:rsid w:val="00F8047E"/>
    <w:rsid w:val="00F81620"/>
    <w:rsid w:val="00F81627"/>
    <w:rsid w:val="00F83FD7"/>
    <w:rsid w:val="00F8780D"/>
    <w:rsid w:val="00F87B01"/>
    <w:rsid w:val="00F87D36"/>
    <w:rsid w:val="00F90954"/>
    <w:rsid w:val="00F933A0"/>
    <w:rsid w:val="00F94402"/>
    <w:rsid w:val="00F95460"/>
    <w:rsid w:val="00F9576F"/>
    <w:rsid w:val="00F95E43"/>
    <w:rsid w:val="00FA1606"/>
    <w:rsid w:val="00FA1E1F"/>
    <w:rsid w:val="00FA42E8"/>
    <w:rsid w:val="00FB28F7"/>
    <w:rsid w:val="00FB2C6A"/>
    <w:rsid w:val="00FC049C"/>
    <w:rsid w:val="00FC0EA9"/>
    <w:rsid w:val="00FC2A07"/>
    <w:rsid w:val="00FC4184"/>
    <w:rsid w:val="00FC7510"/>
    <w:rsid w:val="00FD424F"/>
    <w:rsid w:val="00FD4F9E"/>
    <w:rsid w:val="00FD5F36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E93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672</Words>
  <Characters>5645</Characters>
  <Application>Microsoft Office Word</Application>
  <DocSecurity>0</DocSecurity>
  <Lines>256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Власова Ирина Алексеевна</cp:lastModifiedBy>
  <cp:revision>18</cp:revision>
  <cp:lastPrinted>2025-12-09T06:33:00Z</cp:lastPrinted>
  <dcterms:created xsi:type="dcterms:W3CDTF">2025-12-04T09:51:00Z</dcterms:created>
  <dcterms:modified xsi:type="dcterms:W3CDTF">2025-12-09T09:16:00Z</dcterms:modified>
</cp:coreProperties>
</file>